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Pr="00AA0FC4" w:rsidRDefault="002A13AB" w:rsidP="00D81EF0">
      <w:pPr>
        <w:jc w:val="center"/>
        <w:rPr>
          <w:rFonts w:cs="Times New Roman"/>
          <w:b/>
          <w:szCs w:val="24"/>
        </w:rPr>
      </w:pPr>
      <w:r w:rsidRPr="00AA0FC4">
        <w:rPr>
          <w:rFonts w:cs="Times New Roman"/>
          <w:b/>
          <w:szCs w:val="24"/>
        </w:rPr>
        <w:t>Chronic Kidney Failure</w:t>
      </w:r>
    </w:p>
    <w:p w:rsidR="00D81EF0" w:rsidRPr="00AA0FC4" w:rsidRDefault="00D81EF0" w:rsidP="00D81EF0">
      <w:pPr>
        <w:jc w:val="center"/>
        <w:rPr>
          <w:rFonts w:cs="Times New Roman"/>
          <w:b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b/>
          <w:szCs w:val="24"/>
        </w:rPr>
      </w:pPr>
    </w:p>
    <w:p w:rsidR="00D81EF0" w:rsidRPr="00AA0FC4" w:rsidRDefault="002A13AB" w:rsidP="00D81EF0">
      <w:pPr>
        <w:jc w:val="center"/>
        <w:rPr>
          <w:rFonts w:cs="Times New Roman"/>
          <w:szCs w:val="24"/>
        </w:rPr>
      </w:pPr>
      <w:r w:rsidRPr="00AA0FC4">
        <w:rPr>
          <w:rFonts w:cs="Times New Roman"/>
          <w:szCs w:val="24"/>
        </w:rPr>
        <w:t>Name</w:t>
      </w:r>
    </w:p>
    <w:p w:rsidR="00D81EF0" w:rsidRPr="00AA0FC4" w:rsidRDefault="002A13AB" w:rsidP="00D81EF0">
      <w:pPr>
        <w:jc w:val="center"/>
        <w:rPr>
          <w:rFonts w:cs="Times New Roman"/>
          <w:szCs w:val="24"/>
        </w:rPr>
      </w:pPr>
      <w:r w:rsidRPr="00AA0FC4">
        <w:rPr>
          <w:rFonts w:cs="Times New Roman"/>
          <w:szCs w:val="24"/>
        </w:rPr>
        <w:t>Affiliation</w:t>
      </w:r>
    </w:p>
    <w:p w:rsidR="00D81EF0" w:rsidRPr="00AA0FC4" w:rsidRDefault="002A13AB" w:rsidP="00D81EF0">
      <w:pPr>
        <w:jc w:val="center"/>
        <w:rPr>
          <w:rFonts w:cs="Times New Roman"/>
          <w:szCs w:val="24"/>
        </w:rPr>
      </w:pPr>
      <w:r w:rsidRPr="00AA0FC4">
        <w:rPr>
          <w:rFonts w:cs="Times New Roman"/>
          <w:szCs w:val="24"/>
        </w:rPr>
        <w:t>Date</w:t>
      </w: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szCs w:val="24"/>
        </w:rPr>
      </w:pPr>
    </w:p>
    <w:p w:rsidR="00D81EF0" w:rsidRPr="00AA0FC4" w:rsidRDefault="002A13AB" w:rsidP="00D81EF0">
      <w:pPr>
        <w:jc w:val="center"/>
        <w:rPr>
          <w:rFonts w:cs="Times New Roman"/>
          <w:b/>
          <w:szCs w:val="24"/>
        </w:rPr>
      </w:pPr>
      <w:r w:rsidRPr="00AA0FC4">
        <w:rPr>
          <w:rFonts w:cs="Times New Roman"/>
          <w:b/>
          <w:szCs w:val="24"/>
        </w:rPr>
        <w:t>Chronic Kidney Failure</w:t>
      </w:r>
    </w:p>
    <w:p w:rsidR="00D81EF0" w:rsidRPr="00AA0FC4" w:rsidRDefault="002A13AB" w:rsidP="00D81EF0">
      <w:pPr>
        <w:rPr>
          <w:rFonts w:cs="Times New Roman"/>
          <w:szCs w:val="24"/>
        </w:rPr>
      </w:pPr>
      <w:r w:rsidRPr="00AA0FC4">
        <w:rPr>
          <w:rFonts w:cs="Times New Roman"/>
          <w:szCs w:val="24"/>
        </w:rPr>
        <w:tab/>
        <w:t>There is a deep relationship between chronic kidney disease and heart diseases</w:t>
      </w:r>
      <w:r w:rsidR="00FF6093" w:rsidRPr="00AA0FC4">
        <w:rPr>
          <w:rFonts w:cs="Times New Roman"/>
          <w:szCs w:val="24"/>
        </w:rPr>
        <w:t xml:space="preserve"> since kidney disease can caus</w:t>
      </w:r>
      <w:r w:rsidR="00CB1C11" w:rsidRPr="00AA0FC4">
        <w:rPr>
          <w:rFonts w:cs="Times New Roman"/>
          <w:szCs w:val="24"/>
        </w:rPr>
        <w:t>e heart failure and vice versa. C</w:t>
      </w:r>
      <w:r w:rsidR="00FF6093" w:rsidRPr="00AA0FC4">
        <w:rPr>
          <w:rFonts w:cs="Times New Roman"/>
          <w:szCs w:val="24"/>
        </w:rPr>
        <w:t xml:space="preserve">ardiovascular is ordinary in human beings with CKD </w:t>
      </w:r>
      <w:r w:rsidR="00890FFD" w:rsidRPr="00AA0FC4">
        <w:rPr>
          <w:rFonts w:cs="Times New Roman"/>
          <w:szCs w:val="24"/>
        </w:rPr>
        <w:t>regardless of the stage of SKD</w:t>
      </w:r>
      <w:r w:rsidR="00971D30" w:rsidRPr="00AA0FC4">
        <w:rPr>
          <w:rFonts w:cs="Times New Roman"/>
          <w:szCs w:val="24"/>
        </w:rPr>
        <w:t>, organ</w:t>
      </w:r>
      <w:r w:rsidR="00890FFD" w:rsidRPr="00AA0FC4">
        <w:rPr>
          <w:rFonts w:cs="Times New Roman"/>
          <w:szCs w:val="24"/>
        </w:rPr>
        <w:t xml:space="preserve"> translation, or age.CVD is a prevalent term used to recount states that affect blood vessels and the </w:t>
      </w:r>
      <w:r w:rsidR="00B355B3" w:rsidRPr="00AA0FC4">
        <w:rPr>
          <w:rFonts w:cs="Times New Roman"/>
          <w:szCs w:val="24"/>
        </w:rPr>
        <w:t>heart. Complications</w:t>
      </w:r>
      <w:r w:rsidR="00890FFD" w:rsidRPr="00AA0FC4">
        <w:rPr>
          <w:rFonts w:cs="Times New Roman"/>
          <w:szCs w:val="24"/>
        </w:rPr>
        <w:t xml:space="preserve"> resulting from chronic kidney disease and </w:t>
      </w:r>
      <w:r w:rsidR="00B355B3" w:rsidRPr="00AA0FC4">
        <w:rPr>
          <w:rFonts w:cs="Times New Roman"/>
          <w:szCs w:val="24"/>
        </w:rPr>
        <w:t xml:space="preserve">underlying conditions increases the risks of developing cardiovascular </w:t>
      </w:r>
      <w:r w:rsidR="00971D30" w:rsidRPr="00AA0FC4">
        <w:rPr>
          <w:rFonts w:cs="Times New Roman"/>
          <w:szCs w:val="24"/>
        </w:rPr>
        <w:t>disease. Some of the difficulties that can develop from chronic disease are high blood pressure, diabetes, anemia, and high homocysteine levels</w:t>
      </w:r>
      <w:r w:rsidR="00196B37" w:rsidRPr="00AA0FC4">
        <w:rPr>
          <w:rFonts w:cs="Times New Roman"/>
          <w:szCs w:val="24"/>
          <w:shd w:val="clear" w:color="auto" w:fill="FFFFFF"/>
        </w:rPr>
        <w:t xml:space="preserve"> (Townsend et al., 2016)</w:t>
      </w:r>
      <w:r w:rsidR="00971D30" w:rsidRPr="00AA0FC4">
        <w:rPr>
          <w:rFonts w:cs="Times New Roman"/>
          <w:szCs w:val="24"/>
        </w:rPr>
        <w:t>.</w:t>
      </w:r>
    </w:p>
    <w:p w:rsidR="00971D30" w:rsidRPr="00AA0FC4" w:rsidRDefault="002A13AB" w:rsidP="00D81EF0">
      <w:pPr>
        <w:rPr>
          <w:rFonts w:cs="Times New Roman"/>
          <w:szCs w:val="24"/>
        </w:rPr>
      </w:pPr>
      <w:r w:rsidRPr="00AA0FC4">
        <w:rPr>
          <w:rFonts w:cs="Times New Roman"/>
          <w:szCs w:val="24"/>
        </w:rPr>
        <w:tab/>
      </w:r>
      <w:r w:rsidR="006217C2" w:rsidRPr="00AA0FC4">
        <w:rPr>
          <w:rFonts w:cs="Times New Roman"/>
          <w:szCs w:val="24"/>
        </w:rPr>
        <w:t xml:space="preserve">Neurological complications are directly impacted by chronic kidney </w:t>
      </w:r>
      <w:r w:rsidR="006E20EC" w:rsidRPr="00AA0FC4">
        <w:rPr>
          <w:rFonts w:cs="Times New Roman"/>
          <w:szCs w:val="24"/>
        </w:rPr>
        <w:t>disease. The</w:t>
      </w:r>
      <w:r w:rsidR="006217C2" w:rsidRPr="00AA0FC4">
        <w:rPr>
          <w:rFonts w:cs="Times New Roman"/>
          <w:szCs w:val="24"/>
        </w:rPr>
        <w:t xml:space="preserve"> complications can affect the peripheral and central nervous </w:t>
      </w:r>
      <w:r w:rsidR="006E20EC" w:rsidRPr="00AA0FC4">
        <w:rPr>
          <w:rFonts w:cs="Times New Roman"/>
          <w:szCs w:val="24"/>
        </w:rPr>
        <w:t xml:space="preserve">systems. Some of the neurological complications in chronic kidney disease are cognitive </w:t>
      </w:r>
      <w:r w:rsidR="00EC4A34" w:rsidRPr="00AA0FC4">
        <w:rPr>
          <w:rFonts w:cs="Times New Roman"/>
          <w:szCs w:val="24"/>
        </w:rPr>
        <w:t>dysfunction, stroke</w:t>
      </w:r>
      <w:r w:rsidR="006E20EC" w:rsidRPr="00AA0FC4">
        <w:rPr>
          <w:rFonts w:cs="Times New Roman"/>
          <w:szCs w:val="24"/>
        </w:rPr>
        <w:t>, and encephalogy.</w:t>
      </w:r>
      <w:r w:rsidR="00EC4A34" w:rsidRPr="00AA0FC4">
        <w:rPr>
          <w:rFonts w:cs="Times New Roman"/>
          <w:szCs w:val="24"/>
        </w:rPr>
        <w:t xml:space="preserve">above mentioned difficulties have significant effects on both patient mortality and morbidity risk through distinct </w:t>
      </w:r>
      <w:r w:rsidR="00C66B6F" w:rsidRPr="00AA0FC4">
        <w:rPr>
          <w:rFonts w:cs="Times New Roman"/>
          <w:szCs w:val="24"/>
        </w:rPr>
        <w:t xml:space="preserve">mechanisms. Although encephalopathy frequently occurs, </w:t>
      </w:r>
      <w:r w:rsidR="0070492D" w:rsidRPr="00AA0FC4">
        <w:rPr>
          <w:rFonts w:cs="Times New Roman"/>
          <w:szCs w:val="24"/>
        </w:rPr>
        <w:t xml:space="preserve">its precise pathophysiology is </w:t>
      </w:r>
      <w:r w:rsidR="009C729F" w:rsidRPr="00AA0FC4">
        <w:rPr>
          <w:rFonts w:cs="Times New Roman"/>
          <w:szCs w:val="24"/>
        </w:rPr>
        <w:t>unknown. Chronic</w:t>
      </w:r>
      <w:r w:rsidR="0070492D" w:rsidRPr="00AA0FC4">
        <w:rPr>
          <w:rFonts w:cs="Times New Roman"/>
          <w:szCs w:val="24"/>
        </w:rPr>
        <w:t xml:space="preserve"> renal disorder is also associated with cognitive impairment and microbleeds</w:t>
      </w:r>
      <w:r w:rsidR="00293FED" w:rsidRPr="00AA0FC4">
        <w:rPr>
          <w:rFonts w:cs="Times New Roman"/>
          <w:szCs w:val="24"/>
          <w:shd w:val="clear" w:color="auto" w:fill="FFFFFF"/>
        </w:rPr>
        <w:t xml:space="preserve"> (ZHOU et al., 2012)</w:t>
      </w:r>
      <w:r w:rsidR="0070492D" w:rsidRPr="00AA0FC4">
        <w:rPr>
          <w:rFonts w:cs="Times New Roman"/>
          <w:szCs w:val="24"/>
        </w:rPr>
        <w:t xml:space="preserve">. The complications have been observed in patients with moderate or mild CKD and patients with end-stage kidney </w:t>
      </w:r>
      <w:r w:rsidR="009C729F" w:rsidRPr="00AA0FC4">
        <w:rPr>
          <w:rFonts w:cs="Times New Roman"/>
          <w:szCs w:val="24"/>
        </w:rPr>
        <w:t>disease. Cerebrovascular</w:t>
      </w:r>
      <w:r w:rsidR="0070492D" w:rsidRPr="00AA0FC4">
        <w:rPr>
          <w:rFonts w:cs="Times New Roman"/>
          <w:szCs w:val="24"/>
        </w:rPr>
        <w:t xml:space="preserve"> disorder occurrence might be linked to </w:t>
      </w:r>
      <w:r w:rsidR="009C729F" w:rsidRPr="00AA0FC4">
        <w:rPr>
          <w:rFonts w:cs="Times New Roman"/>
          <w:szCs w:val="24"/>
        </w:rPr>
        <w:t>non-traditional</w:t>
      </w:r>
      <w:r w:rsidR="0070492D" w:rsidRPr="00AA0FC4">
        <w:rPr>
          <w:rFonts w:cs="Times New Roman"/>
          <w:szCs w:val="24"/>
        </w:rPr>
        <w:t xml:space="preserve"> and </w:t>
      </w:r>
      <w:r w:rsidR="009C729F" w:rsidRPr="00AA0FC4">
        <w:rPr>
          <w:rFonts w:cs="Times New Roman"/>
          <w:szCs w:val="24"/>
        </w:rPr>
        <w:t>traditional</w:t>
      </w:r>
      <w:r w:rsidR="0070492D" w:rsidRPr="00AA0FC4">
        <w:rPr>
          <w:rFonts w:cs="Times New Roman"/>
          <w:szCs w:val="24"/>
        </w:rPr>
        <w:t xml:space="preserve"> cardiovascular risk factors in </w:t>
      </w:r>
      <w:r w:rsidR="00CB1C11" w:rsidRPr="00AA0FC4">
        <w:rPr>
          <w:rFonts w:cs="Times New Roman"/>
          <w:szCs w:val="24"/>
        </w:rPr>
        <w:t xml:space="preserve">renal </w:t>
      </w:r>
      <w:r w:rsidR="0070492D" w:rsidRPr="00AA0FC4">
        <w:rPr>
          <w:rFonts w:cs="Times New Roman"/>
          <w:szCs w:val="24"/>
        </w:rPr>
        <w:t>disease</w:t>
      </w:r>
      <w:r w:rsidR="00196B37" w:rsidRPr="00AA0FC4">
        <w:rPr>
          <w:rFonts w:cs="Times New Roman"/>
          <w:szCs w:val="24"/>
          <w:shd w:val="clear" w:color="auto" w:fill="FFFFFF"/>
        </w:rPr>
        <w:t xml:space="preserve"> (Toyoda &amp; Ninomiya, 2014)</w:t>
      </w:r>
      <w:r w:rsidR="009C729F" w:rsidRPr="00AA0FC4">
        <w:rPr>
          <w:rFonts w:cs="Times New Roman"/>
          <w:szCs w:val="24"/>
        </w:rPr>
        <w:t>.</w:t>
      </w:r>
    </w:p>
    <w:p w:rsidR="009C729F" w:rsidRDefault="002A13AB" w:rsidP="00D81EF0">
      <w:pPr>
        <w:rPr>
          <w:rFonts w:cs="Times New Roman"/>
          <w:szCs w:val="24"/>
        </w:rPr>
      </w:pPr>
      <w:r w:rsidRPr="00AA0FC4">
        <w:rPr>
          <w:rFonts w:cs="Times New Roman"/>
          <w:szCs w:val="24"/>
        </w:rPr>
        <w:t xml:space="preserve"> Chronic </w:t>
      </w:r>
      <w:r w:rsidR="00CB1C11" w:rsidRPr="00AA0FC4">
        <w:rPr>
          <w:rFonts w:cs="Times New Roman"/>
          <w:szCs w:val="24"/>
        </w:rPr>
        <w:t xml:space="preserve">renal </w:t>
      </w:r>
      <w:r w:rsidRPr="00AA0FC4">
        <w:rPr>
          <w:rFonts w:cs="Times New Roman"/>
          <w:szCs w:val="24"/>
        </w:rPr>
        <w:t xml:space="preserve">disease is also related to a series of hemopoietic </w:t>
      </w:r>
      <w:r w:rsidR="00296690" w:rsidRPr="00AA0FC4">
        <w:rPr>
          <w:rFonts w:cs="Times New Roman"/>
          <w:szCs w:val="24"/>
        </w:rPr>
        <w:t>changes. The</w:t>
      </w:r>
      <w:r w:rsidRPr="00AA0FC4">
        <w:rPr>
          <w:rFonts w:cs="Times New Roman"/>
          <w:szCs w:val="24"/>
        </w:rPr>
        <w:t xml:space="preserve"> most crucial failure of kidney erythropoietin secretion </w:t>
      </w:r>
      <w:r w:rsidR="00296690" w:rsidRPr="00AA0FC4">
        <w:rPr>
          <w:rFonts w:cs="Times New Roman"/>
          <w:szCs w:val="24"/>
        </w:rPr>
        <w:t xml:space="preserve">is the degree of anemia. Hemopoietic changes can result from reduced cell survival and depressed red cell </w:t>
      </w:r>
      <w:r w:rsidR="0035017F" w:rsidRPr="00AA0FC4">
        <w:rPr>
          <w:rFonts w:cs="Times New Roman"/>
          <w:szCs w:val="24"/>
        </w:rPr>
        <w:t>production bleeding</w:t>
      </w:r>
      <w:r w:rsidR="00296690" w:rsidRPr="00AA0FC4">
        <w:rPr>
          <w:rFonts w:cs="Times New Roman"/>
          <w:szCs w:val="24"/>
        </w:rPr>
        <w:t xml:space="preserve"> and purpura result due to platelet dysfunction and its response to </w:t>
      </w:r>
      <w:r w:rsidR="00345F06" w:rsidRPr="00AA0FC4">
        <w:rPr>
          <w:rFonts w:cs="Times New Roman"/>
          <w:szCs w:val="24"/>
        </w:rPr>
        <w:t>dialysis. Furthermore, anemia is the reduction of entire circulating RBCs.</w:t>
      </w:r>
      <w:r w:rsidR="006F6A68" w:rsidRPr="00AA0FC4">
        <w:rPr>
          <w:rFonts w:cs="Times New Roman"/>
          <w:szCs w:val="24"/>
        </w:rPr>
        <w:t xml:space="preserve">CKD and hypertension are associated with effect relationship and intermingled </w:t>
      </w:r>
      <w:r w:rsidR="00A1772A" w:rsidRPr="00AA0FC4">
        <w:rPr>
          <w:rFonts w:cs="Times New Roman"/>
          <w:szCs w:val="24"/>
        </w:rPr>
        <w:t>cause. The</w:t>
      </w:r>
      <w:r w:rsidR="006F6A68" w:rsidRPr="00AA0FC4">
        <w:rPr>
          <w:rFonts w:cs="Times New Roman"/>
          <w:szCs w:val="24"/>
        </w:rPr>
        <w:t xml:space="preserve"> decline in kidney function causes a rise in blood pressure, and sustained elevations</w:t>
      </w:r>
      <w:r w:rsidR="00A1772A" w:rsidRPr="00AA0FC4">
        <w:rPr>
          <w:rFonts w:cs="Times New Roman"/>
          <w:szCs w:val="24"/>
        </w:rPr>
        <w:t xml:space="preserve"> in blood pressure hasten CKD </w:t>
      </w:r>
      <w:r w:rsidR="007F0128" w:rsidRPr="00AA0FC4">
        <w:rPr>
          <w:rFonts w:cs="Times New Roman"/>
          <w:szCs w:val="24"/>
        </w:rPr>
        <w:t>progress. Nephropathy results from vascular abnormalities, which also increase mortality risk. Typically diabetes mellitus is also a risk factor for ESRD and the advanced stages of CKD</w:t>
      </w:r>
      <w:r w:rsidR="00196B37" w:rsidRPr="00AA0FC4">
        <w:rPr>
          <w:rFonts w:cs="Times New Roman"/>
          <w:szCs w:val="24"/>
          <w:shd w:val="clear" w:color="auto" w:fill="FFFFFF"/>
        </w:rPr>
        <w:t xml:space="preserve"> (Seravalle et al., 2014)</w:t>
      </w:r>
      <w:r w:rsidR="007F0128" w:rsidRPr="00AA0FC4">
        <w:rPr>
          <w:rFonts w:cs="Times New Roman"/>
          <w:szCs w:val="24"/>
        </w:rPr>
        <w:t>.</w:t>
      </w: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Default="00AA0FC4" w:rsidP="00D81EF0">
      <w:pPr>
        <w:rPr>
          <w:rFonts w:cs="Times New Roman"/>
          <w:szCs w:val="24"/>
        </w:rPr>
      </w:pPr>
    </w:p>
    <w:p w:rsidR="00AA0FC4" w:rsidRPr="00AA0FC4" w:rsidRDefault="00AA0FC4" w:rsidP="00AA0FC4">
      <w:pPr>
        <w:shd w:val="clear" w:color="auto" w:fill="FFFFFF"/>
        <w:spacing w:after="0" w:line="240" w:lineRule="auto"/>
        <w:jc w:val="center"/>
        <w:rPr>
          <w:rFonts w:eastAsia="Times New Roman" w:cs="Times New Roman"/>
          <w:i/>
          <w:color w:val="000000"/>
          <w:szCs w:val="24"/>
        </w:rPr>
      </w:pPr>
      <w:r w:rsidRPr="00AA0FC4">
        <w:rPr>
          <w:rFonts w:eastAsia="Times New Roman" w:cs="Times New Roman"/>
          <w:i/>
          <w:color w:val="000000"/>
          <w:szCs w:val="24"/>
        </w:rPr>
        <w:t>References</w:t>
      </w:r>
    </w:p>
    <w:p w:rsidR="00AA0FC4" w:rsidRPr="00AA0FC4" w:rsidRDefault="00AA0FC4" w:rsidP="00AA0FC4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i/>
          <w:color w:val="000000"/>
          <w:szCs w:val="24"/>
        </w:rPr>
      </w:pPr>
      <w:r w:rsidRPr="00AA0FC4">
        <w:rPr>
          <w:rFonts w:eastAsia="Times New Roman" w:cs="Times New Roman"/>
          <w:i/>
          <w:color w:val="000000"/>
          <w:szCs w:val="24"/>
        </w:rPr>
        <w:t>Seravalle, G., Mancia, G., &amp; Grassi, G. (2014). Role of the sympathetic nervous system in hypertension and hypertension-related cardiovascular disease. </w:t>
      </w:r>
      <w:r w:rsidRPr="00AA0FC4">
        <w:rPr>
          <w:rFonts w:eastAsia="Times New Roman" w:cs="Times New Roman"/>
          <w:i/>
          <w:iCs/>
          <w:color w:val="000000"/>
          <w:szCs w:val="24"/>
        </w:rPr>
        <w:t>High Blood Pressure &amp; Cardiovascular Prevention</w:t>
      </w:r>
      <w:r w:rsidRPr="00AA0FC4">
        <w:rPr>
          <w:rFonts w:eastAsia="Times New Roman" w:cs="Times New Roman"/>
          <w:i/>
          <w:color w:val="000000"/>
          <w:szCs w:val="24"/>
        </w:rPr>
        <w:t>, </w:t>
      </w:r>
      <w:r w:rsidRPr="00AA0FC4">
        <w:rPr>
          <w:rFonts w:eastAsia="Times New Roman" w:cs="Times New Roman"/>
          <w:i/>
          <w:iCs/>
          <w:color w:val="000000"/>
          <w:szCs w:val="24"/>
        </w:rPr>
        <w:t>21</w:t>
      </w:r>
      <w:r w:rsidRPr="00AA0FC4">
        <w:rPr>
          <w:rFonts w:eastAsia="Times New Roman" w:cs="Times New Roman"/>
          <w:i/>
          <w:color w:val="000000"/>
          <w:szCs w:val="24"/>
        </w:rPr>
        <w:t>(2), 89-105. </w:t>
      </w:r>
      <w:hyperlink r:id="rId6" w:history="1">
        <w:r w:rsidRPr="00AA0FC4">
          <w:rPr>
            <w:rFonts w:eastAsia="Times New Roman" w:cs="Times New Roman"/>
            <w:i/>
            <w:color w:val="000000"/>
            <w:szCs w:val="24"/>
          </w:rPr>
          <w:t>https://doi.org/10.1007/s40292-014-0056-1</w:t>
        </w:r>
      </w:hyperlink>
    </w:p>
    <w:p w:rsidR="00AA0FC4" w:rsidRPr="00AA0FC4" w:rsidRDefault="00AA0FC4" w:rsidP="00AA0FC4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i/>
          <w:color w:val="000000"/>
          <w:szCs w:val="24"/>
        </w:rPr>
      </w:pPr>
      <w:r w:rsidRPr="00AA0FC4">
        <w:rPr>
          <w:rFonts w:eastAsia="Times New Roman" w:cs="Times New Roman"/>
          <w:i/>
          <w:color w:val="000000"/>
          <w:szCs w:val="24"/>
        </w:rPr>
        <w:t>Townsend, N., Wilson, L., Bhatnagar, P., Wickramasinghe, K., Rayner, M., &amp; Nichols, M. (2016). Cardiovascular disease in Europe: Epidemiological update 2016. </w:t>
      </w:r>
      <w:r w:rsidRPr="00AA0FC4">
        <w:rPr>
          <w:rFonts w:eastAsia="Times New Roman" w:cs="Times New Roman"/>
          <w:i/>
          <w:iCs/>
          <w:color w:val="000000"/>
          <w:szCs w:val="24"/>
        </w:rPr>
        <w:t>European Heart Journal</w:t>
      </w:r>
      <w:r w:rsidRPr="00AA0FC4">
        <w:rPr>
          <w:rFonts w:eastAsia="Times New Roman" w:cs="Times New Roman"/>
          <w:i/>
          <w:color w:val="000000"/>
          <w:szCs w:val="24"/>
        </w:rPr>
        <w:t>, </w:t>
      </w:r>
      <w:r w:rsidRPr="00AA0FC4">
        <w:rPr>
          <w:rFonts w:eastAsia="Times New Roman" w:cs="Times New Roman"/>
          <w:i/>
          <w:iCs/>
          <w:color w:val="000000"/>
          <w:szCs w:val="24"/>
        </w:rPr>
        <w:t>37</w:t>
      </w:r>
      <w:r w:rsidRPr="00AA0FC4">
        <w:rPr>
          <w:rFonts w:eastAsia="Times New Roman" w:cs="Times New Roman"/>
          <w:i/>
          <w:color w:val="000000"/>
          <w:szCs w:val="24"/>
        </w:rPr>
        <w:t>(42), 3232-3245. </w:t>
      </w:r>
      <w:hyperlink r:id="rId7" w:history="1">
        <w:r w:rsidRPr="00AA0FC4">
          <w:rPr>
            <w:rFonts w:eastAsia="Times New Roman" w:cs="Times New Roman"/>
            <w:i/>
            <w:color w:val="000000"/>
            <w:szCs w:val="24"/>
          </w:rPr>
          <w:t>https://doi.org/10.1093/eurheartj/ehw334</w:t>
        </w:r>
      </w:hyperlink>
    </w:p>
    <w:p w:rsidR="00AA0FC4" w:rsidRPr="00AA0FC4" w:rsidRDefault="00AA0FC4" w:rsidP="00AA0FC4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i/>
          <w:color w:val="000000"/>
          <w:szCs w:val="24"/>
        </w:rPr>
      </w:pPr>
      <w:r w:rsidRPr="00AA0FC4">
        <w:rPr>
          <w:rFonts w:eastAsia="Times New Roman" w:cs="Times New Roman"/>
          <w:i/>
          <w:color w:val="000000"/>
          <w:szCs w:val="24"/>
        </w:rPr>
        <w:t>Toyoda, K., &amp; Ninomiya, T. (2014). Stroke and cerebrovascular diseases in patients with chronic kidney disease. </w:t>
      </w:r>
      <w:r w:rsidRPr="00AA0FC4">
        <w:rPr>
          <w:rFonts w:eastAsia="Times New Roman" w:cs="Times New Roman"/>
          <w:i/>
          <w:iCs/>
          <w:color w:val="000000"/>
          <w:szCs w:val="24"/>
        </w:rPr>
        <w:t>The Lancet Neurology</w:t>
      </w:r>
      <w:r w:rsidRPr="00AA0FC4">
        <w:rPr>
          <w:rFonts w:eastAsia="Times New Roman" w:cs="Times New Roman"/>
          <w:i/>
          <w:color w:val="000000"/>
          <w:szCs w:val="24"/>
        </w:rPr>
        <w:t>, </w:t>
      </w:r>
      <w:r w:rsidRPr="00AA0FC4">
        <w:rPr>
          <w:rFonts w:eastAsia="Times New Roman" w:cs="Times New Roman"/>
          <w:i/>
          <w:iCs/>
          <w:color w:val="000000"/>
          <w:szCs w:val="24"/>
        </w:rPr>
        <w:t>13</w:t>
      </w:r>
      <w:r w:rsidRPr="00AA0FC4">
        <w:rPr>
          <w:rFonts w:eastAsia="Times New Roman" w:cs="Times New Roman"/>
          <w:i/>
          <w:color w:val="000000"/>
          <w:szCs w:val="24"/>
        </w:rPr>
        <w:t>(8), 823-833. </w:t>
      </w:r>
      <w:hyperlink r:id="rId8" w:history="1">
        <w:r w:rsidRPr="00AA0FC4">
          <w:rPr>
            <w:rFonts w:eastAsia="Times New Roman" w:cs="Times New Roman"/>
            <w:i/>
            <w:color w:val="000000"/>
            <w:szCs w:val="24"/>
          </w:rPr>
          <w:t>https://doi.org/10.1016/s1474-4422(14)70026-2</w:t>
        </w:r>
      </w:hyperlink>
    </w:p>
    <w:p w:rsidR="00AA0FC4" w:rsidRPr="00AA0FC4" w:rsidRDefault="00AA0FC4" w:rsidP="00AA0FC4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i/>
          <w:color w:val="000000"/>
          <w:szCs w:val="24"/>
        </w:rPr>
      </w:pPr>
      <w:r w:rsidRPr="00AA0FC4">
        <w:rPr>
          <w:rFonts w:eastAsia="Times New Roman" w:cs="Times New Roman"/>
          <w:i/>
          <w:color w:val="000000"/>
          <w:szCs w:val="24"/>
        </w:rPr>
        <w:t>ZHOU, J., YANG, L., ZHANG, K., LIU, Y., &amp; FU, P. (2012). Risk factors for the prognosis of acute kidney injury under the acute kidney injury network definition: A retrospective, multicenter study in critically ill patients. </w:t>
      </w:r>
      <w:r w:rsidRPr="00AA0FC4">
        <w:rPr>
          <w:rFonts w:eastAsia="Times New Roman" w:cs="Times New Roman"/>
          <w:i/>
          <w:iCs/>
          <w:color w:val="000000"/>
          <w:szCs w:val="24"/>
        </w:rPr>
        <w:t>Nephrology</w:t>
      </w:r>
      <w:r w:rsidRPr="00AA0FC4">
        <w:rPr>
          <w:rFonts w:eastAsia="Times New Roman" w:cs="Times New Roman"/>
          <w:i/>
          <w:color w:val="000000"/>
          <w:szCs w:val="24"/>
        </w:rPr>
        <w:t>, </w:t>
      </w:r>
      <w:r w:rsidRPr="00AA0FC4">
        <w:rPr>
          <w:rFonts w:eastAsia="Times New Roman" w:cs="Times New Roman"/>
          <w:i/>
          <w:iCs/>
          <w:color w:val="000000"/>
          <w:szCs w:val="24"/>
        </w:rPr>
        <w:t>17</w:t>
      </w:r>
      <w:r w:rsidRPr="00AA0FC4">
        <w:rPr>
          <w:rFonts w:eastAsia="Times New Roman" w:cs="Times New Roman"/>
          <w:i/>
          <w:color w:val="000000"/>
          <w:szCs w:val="24"/>
        </w:rPr>
        <w:t>(4), 330-337. </w:t>
      </w:r>
      <w:hyperlink r:id="rId9" w:history="1">
        <w:r w:rsidRPr="00AA0FC4">
          <w:rPr>
            <w:rFonts w:eastAsia="Times New Roman" w:cs="Times New Roman"/>
            <w:i/>
            <w:color w:val="000000"/>
            <w:szCs w:val="24"/>
          </w:rPr>
          <w:t>https://doi.org/10.1111/j.1440-1797.2012.01577.x</w:t>
        </w:r>
      </w:hyperlink>
    </w:p>
    <w:p w:rsidR="00AA0FC4" w:rsidRPr="00AA0FC4" w:rsidRDefault="00AA0FC4" w:rsidP="00D81EF0">
      <w:pPr>
        <w:rPr>
          <w:rFonts w:cs="Times New Roman"/>
          <w:i/>
          <w:szCs w:val="24"/>
        </w:rPr>
      </w:pPr>
    </w:p>
    <w:p w:rsidR="00C66B6F" w:rsidRPr="00AA0FC4" w:rsidRDefault="00C66B6F" w:rsidP="00D81EF0">
      <w:pPr>
        <w:rPr>
          <w:rFonts w:cs="Times New Roman"/>
          <w:i/>
          <w:szCs w:val="24"/>
        </w:rPr>
      </w:pPr>
    </w:p>
    <w:p w:rsidR="00D81EF0" w:rsidRPr="00AA0FC4" w:rsidRDefault="00D81EF0" w:rsidP="00D81EF0">
      <w:pPr>
        <w:jc w:val="center"/>
        <w:rPr>
          <w:rFonts w:cs="Times New Roman"/>
          <w:i/>
          <w:szCs w:val="24"/>
        </w:rPr>
      </w:pPr>
    </w:p>
    <w:sectPr w:rsidR="00D81EF0" w:rsidRPr="00AA0FC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A13AB" w:rsidRDefault="002A13AB">
      <w:pPr>
        <w:spacing w:after="0" w:line="240" w:lineRule="auto"/>
      </w:pPr>
      <w:r>
        <w:separator/>
      </w:r>
    </w:p>
  </w:endnote>
  <w:endnote w:type="continuationSeparator" w:id="0">
    <w:p w:rsidR="002A13AB" w:rsidRDefault="002A1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A13AB" w:rsidRDefault="002A13AB">
      <w:pPr>
        <w:spacing w:after="0" w:line="240" w:lineRule="auto"/>
      </w:pPr>
      <w:r>
        <w:separator/>
      </w:r>
    </w:p>
  </w:footnote>
  <w:footnote w:type="continuationSeparator" w:id="0">
    <w:p w:rsidR="002A13AB" w:rsidRDefault="002A1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328104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30CD" w:rsidRDefault="002A13A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F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830CD" w:rsidRDefault="00B830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0CD"/>
    <w:rsid w:val="000007A3"/>
    <w:rsid w:val="000C0867"/>
    <w:rsid w:val="00196B37"/>
    <w:rsid w:val="00293FED"/>
    <w:rsid w:val="00296690"/>
    <w:rsid w:val="002A13AB"/>
    <w:rsid w:val="00345F06"/>
    <w:rsid w:val="0035017F"/>
    <w:rsid w:val="004701A9"/>
    <w:rsid w:val="006217C2"/>
    <w:rsid w:val="006E20EC"/>
    <w:rsid w:val="006F6A68"/>
    <w:rsid w:val="0070492D"/>
    <w:rsid w:val="00787B28"/>
    <w:rsid w:val="007F0128"/>
    <w:rsid w:val="00890FFD"/>
    <w:rsid w:val="00901A4A"/>
    <w:rsid w:val="00971D30"/>
    <w:rsid w:val="009C729F"/>
    <w:rsid w:val="00A1772A"/>
    <w:rsid w:val="00AA0FC4"/>
    <w:rsid w:val="00AD7547"/>
    <w:rsid w:val="00B355B3"/>
    <w:rsid w:val="00B830CD"/>
    <w:rsid w:val="00C66B6F"/>
    <w:rsid w:val="00C7143D"/>
    <w:rsid w:val="00C918D7"/>
    <w:rsid w:val="00CB1C11"/>
    <w:rsid w:val="00D81EF0"/>
    <w:rsid w:val="00EC4A34"/>
    <w:rsid w:val="00FF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F8F0B6-4FF7-4EF8-BACA-6F3A0755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0CD"/>
  </w:style>
  <w:style w:type="paragraph" w:styleId="Footer">
    <w:name w:val="footer"/>
    <w:basedOn w:val="Normal"/>
    <w:link w:val="FooterChar"/>
    <w:uiPriority w:val="99"/>
    <w:unhideWhenUsed/>
    <w:rsid w:val="00B83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0CD"/>
  </w:style>
  <w:style w:type="character" w:customStyle="1" w:styleId="gray">
    <w:name w:val="gray"/>
    <w:basedOn w:val="DefaultParagraphFont"/>
    <w:rsid w:val="00196B37"/>
  </w:style>
  <w:style w:type="paragraph" w:styleId="NormalWeb">
    <w:name w:val="Normal (Web)"/>
    <w:basedOn w:val="Normal"/>
    <w:uiPriority w:val="99"/>
    <w:semiHidden/>
    <w:unhideWhenUsed/>
    <w:rsid w:val="00AA0FC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AA0FC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A0F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s1474-4422(14)70026-2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doi.org/10.1093/eurheartj/ehw334" TargetMode="External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1007/s40292-014-0056-1" TargetMode="External" /><Relationship Id="rId11" Type="http://schemas.openxmlformats.org/officeDocument/2006/relationships/fontTable" Target="fontTable.xml" /><Relationship Id="rId5" Type="http://schemas.openxmlformats.org/officeDocument/2006/relationships/endnotes" Target="endnotes.xml" /><Relationship Id="rId10" Type="http://schemas.openxmlformats.org/officeDocument/2006/relationships/header" Target="header1.xml" /><Relationship Id="rId4" Type="http://schemas.openxmlformats.org/officeDocument/2006/relationships/footnotes" Target="footnotes.xml" /><Relationship Id="rId9" Type="http://schemas.openxmlformats.org/officeDocument/2006/relationships/hyperlink" Target="https://doi.org/10.1111/j.1440-1797.2012.01577.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2020-09-08T16:02:00Z</dcterms:created>
  <dcterms:modified xsi:type="dcterms:W3CDTF">2020-09-08T16:02:00Z</dcterms:modified>
</cp:coreProperties>
</file>